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716D2" w14:textId="77777777" w:rsidR="006462EF" w:rsidRPr="00982B72" w:rsidRDefault="006462EF" w:rsidP="00F10607">
      <w:pPr>
        <w:pStyle w:val="Paragraph"/>
        <w:spacing w:before="0" w:after="0"/>
        <w:rPr>
          <w:rFonts w:cs="Arial"/>
          <w:b/>
        </w:rPr>
      </w:pPr>
      <w:r w:rsidRPr="00982B72">
        <w:rPr>
          <w:rFonts w:cs="Arial"/>
          <w:b/>
        </w:rPr>
        <w:t>SUBSCRIPTION UNDERTAKING</w:t>
      </w:r>
      <w:r w:rsidR="00982B72" w:rsidRPr="00982B72">
        <w:rPr>
          <w:rFonts w:cs="Arial"/>
          <w:b/>
        </w:rPr>
        <w:t xml:space="preserve"> FOR AS PRO KAPITAL GRUPP SHARES</w:t>
      </w:r>
    </w:p>
    <w:p w14:paraId="55D31B01" w14:textId="77777777" w:rsidR="006462EF" w:rsidRPr="00F10607" w:rsidRDefault="006462EF" w:rsidP="00F10607">
      <w:pPr>
        <w:pStyle w:val="Paragraph"/>
        <w:spacing w:before="0" w:after="0"/>
        <w:rPr>
          <w:rFonts w:cs="Arial"/>
        </w:rPr>
      </w:pPr>
    </w:p>
    <w:p w14:paraId="1EBFCF5B" w14:textId="77777777" w:rsidR="00E9411A" w:rsidRPr="00F10607" w:rsidRDefault="008B49C9" w:rsidP="00F10607">
      <w:pPr>
        <w:pStyle w:val="Paragraph"/>
        <w:spacing w:before="0" w:after="0"/>
        <w:rPr>
          <w:rFonts w:cs="Arial"/>
        </w:rPr>
      </w:pPr>
      <w:r w:rsidRPr="00F10607">
        <w:rPr>
          <w:rFonts w:cs="Arial"/>
        </w:rPr>
        <w:t xml:space="preserve">This </w:t>
      </w:r>
      <w:r w:rsidR="00CA5F69" w:rsidRPr="00F10607">
        <w:rPr>
          <w:rFonts w:cs="Arial"/>
        </w:rPr>
        <w:t xml:space="preserve">Subscription Undertaking is based on the prospectus of </w:t>
      </w:r>
      <w:r w:rsidRPr="00F10607">
        <w:rPr>
          <w:rFonts w:cs="Arial"/>
        </w:rPr>
        <w:t>AS Pro Kapital Grupp (the “</w:t>
      </w:r>
      <w:r w:rsidRPr="00F10607">
        <w:rPr>
          <w:rFonts w:cs="Arial"/>
          <w:bCs/>
        </w:rPr>
        <w:t>Company</w:t>
      </w:r>
      <w:r w:rsidRPr="00F10607">
        <w:rPr>
          <w:rFonts w:cs="Arial"/>
        </w:rPr>
        <w:t>”), an Estonian company with registration number 10278802, in relation to the public offering of up to 6,000,000 Company’s shares with ISIN EE3100006040 (the “</w:t>
      </w:r>
      <w:r w:rsidRPr="00F10607">
        <w:rPr>
          <w:rFonts w:cs="Arial"/>
          <w:bCs/>
        </w:rPr>
        <w:t>Shares</w:t>
      </w:r>
      <w:r w:rsidRPr="00F10607">
        <w:rPr>
          <w:rFonts w:cs="Arial"/>
        </w:rPr>
        <w:t>”) to be issued pursuant to the resolution of the Company’s Supervisory Council, dated on or about 19 September 2017 (the “Offering”), and admission of the Shares to trading on the Secondary List of Nasdaq Tallinn, a regulated market operated by Nasdaq Tallinn AS (the “Admission”).</w:t>
      </w:r>
    </w:p>
    <w:p w14:paraId="3F828F4E" w14:textId="77777777" w:rsidR="00E9411A" w:rsidRPr="00F10607" w:rsidRDefault="00E9411A" w:rsidP="00F10607">
      <w:pPr>
        <w:pStyle w:val="Paragraph"/>
        <w:spacing w:before="0" w:after="0"/>
        <w:rPr>
          <w:rFonts w:cs="Arial"/>
        </w:rPr>
      </w:pPr>
    </w:p>
    <w:p w14:paraId="0EC0747D" w14:textId="77777777" w:rsidR="00F12249" w:rsidRPr="00F10607" w:rsidRDefault="00F12249" w:rsidP="00F10607">
      <w:pPr>
        <w:pStyle w:val="Paragraph"/>
        <w:spacing w:before="0" w:after="0"/>
        <w:rPr>
          <w:rFonts w:cs="Arial"/>
        </w:rPr>
      </w:pPr>
      <w:r w:rsidRPr="00F10607">
        <w:rPr>
          <w:rFonts w:cs="Arial"/>
        </w:rPr>
        <w:t>The subscription period for the Shares will commence on 20 September 2017 at 10:00 (Tallinn time) and expire on 4 October 2017 at 16:00 (Tallinn time) (the “Offer Period”).</w:t>
      </w:r>
    </w:p>
    <w:p w14:paraId="08418806" w14:textId="77777777" w:rsidR="00E9411A" w:rsidRPr="00F10607" w:rsidRDefault="00E9411A" w:rsidP="00F10607">
      <w:pPr>
        <w:pStyle w:val="Paragraph"/>
        <w:spacing w:before="0" w:after="0"/>
        <w:rPr>
          <w:rFonts w:cs="Arial"/>
        </w:rPr>
      </w:pPr>
    </w:p>
    <w:p w14:paraId="550C12E3" w14:textId="73F07E52" w:rsidR="00E9411A" w:rsidRPr="00F10607" w:rsidRDefault="00E9411A" w:rsidP="00F10607">
      <w:pPr>
        <w:pStyle w:val="Paragraph"/>
        <w:spacing w:before="0" w:after="0"/>
        <w:rPr>
          <w:rFonts w:cs="Arial"/>
        </w:rPr>
      </w:pPr>
      <w:r w:rsidRPr="00F10607">
        <w:rPr>
          <w:rFonts w:cs="Arial"/>
        </w:rPr>
        <w:t>The offer price per Share (the “Offer Price”) will be determined by the supervisory council of the Company through a book-building process and will be the same for all Investors. The range of the Offer Price is EUR 1.80 to 2.30</w:t>
      </w:r>
      <w:r w:rsidR="00CA388B">
        <w:rPr>
          <w:rFonts w:cs="Arial"/>
        </w:rPr>
        <w:t xml:space="preserve"> </w:t>
      </w:r>
      <w:r w:rsidR="00CA388B" w:rsidRPr="00CA388B">
        <w:rPr>
          <w:rFonts w:cs="Arial"/>
        </w:rPr>
        <w:t>(i.e. EUR 1.80 per Share, EUR 1.90 per Share, EUR 2.00 per Share, EUR 2.10</w:t>
      </w:r>
      <w:r w:rsidR="00CA388B">
        <w:rPr>
          <w:rFonts w:cs="Arial"/>
        </w:rPr>
        <w:t xml:space="preserve"> per Share, EUR 2.20 per Share or</w:t>
      </w:r>
      <w:r w:rsidR="00CA388B" w:rsidRPr="00CA388B">
        <w:rPr>
          <w:rFonts w:cs="Arial"/>
        </w:rPr>
        <w:t xml:space="preserve"> EUR 2.30 per Share)</w:t>
      </w:r>
      <w:r w:rsidRPr="00F10607">
        <w:rPr>
          <w:rFonts w:cs="Arial"/>
        </w:rPr>
        <w:t>.</w:t>
      </w:r>
    </w:p>
    <w:p w14:paraId="4B3D7DF5" w14:textId="77777777" w:rsidR="003918DD" w:rsidRPr="00F10607" w:rsidRDefault="003918DD" w:rsidP="00F10607">
      <w:pPr>
        <w:spacing w:after="0" w:line="240" w:lineRule="auto"/>
        <w:jc w:val="both"/>
        <w:rPr>
          <w:rFonts w:ascii="Arial" w:hAnsi="Arial" w:cs="Arial"/>
          <w:sz w:val="20"/>
          <w:szCs w:val="20"/>
          <w:lang w:val="en-GB"/>
        </w:rPr>
      </w:pPr>
    </w:p>
    <w:p w14:paraId="111604A3" w14:textId="77777777" w:rsidR="00CA5F69" w:rsidRPr="00F10607" w:rsidRDefault="00CA5F69" w:rsidP="00F10607">
      <w:pPr>
        <w:pStyle w:val="ListParagraph"/>
        <w:numPr>
          <w:ilvl w:val="0"/>
          <w:numId w:val="2"/>
        </w:numPr>
        <w:spacing w:after="0" w:line="240" w:lineRule="auto"/>
        <w:jc w:val="both"/>
        <w:rPr>
          <w:rFonts w:ascii="Arial" w:hAnsi="Arial" w:cs="Arial"/>
          <w:sz w:val="20"/>
          <w:szCs w:val="20"/>
          <w:lang w:val="en-GB"/>
        </w:rPr>
      </w:pPr>
      <w:r w:rsidRPr="00F10607">
        <w:rPr>
          <w:rFonts w:ascii="Arial" w:hAnsi="Arial" w:cs="Arial"/>
          <w:sz w:val="20"/>
          <w:szCs w:val="20"/>
          <w:lang w:val="en-GB"/>
        </w:rPr>
        <w:t>Information about the submitter of the Subscription Undertaking (the „Investor“)</w:t>
      </w:r>
    </w:p>
    <w:tbl>
      <w:tblPr>
        <w:tblStyle w:val="TableGrid"/>
        <w:tblW w:w="0" w:type="auto"/>
        <w:tblLook w:val="04A0" w:firstRow="1" w:lastRow="0" w:firstColumn="1" w:lastColumn="0" w:noHBand="0" w:noVBand="1"/>
      </w:tblPr>
      <w:tblGrid>
        <w:gridCol w:w="2547"/>
        <w:gridCol w:w="6515"/>
      </w:tblGrid>
      <w:tr w:rsidR="000D24EF" w:rsidRPr="00F10607" w14:paraId="3EC0FA05" w14:textId="77777777" w:rsidTr="00420945">
        <w:tc>
          <w:tcPr>
            <w:tcW w:w="2547" w:type="dxa"/>
          </w:tcPr>
          <w:p w14:paraId="14BC9285" w14:textId="77777777" w:rsidR="000D24EF" w:rsidRPr="00F10607" w:rsidRDefault="000D24EF" w:rsidP="00F10607">
            <w:pPr>
              <w:jc w:val="both"/>
              <w:rPr>
                <w:rFonts w:ascii="Arial" w:hAnsi="Arial" w:cs="Arial"/>
                <w:sz w:val="20"/>
                <w:szCs w:val="20"/>
                <w:lang w:val="en-GB"/>
              </w:rPr>
            </w:pPr>
            <w:r w:rsidRPr="00F10607">
              <w:rPr>
                <w:rFonts w:ascii="Arial" w:hAnsi="Arial" w:cs="Arial"/>
                <w:sz w:val="20"/>
                <w:szCs w:val="20"/>
                <w:lang w:val="en-GB"/>
              </w:rPr>
              <w:t>Name:</w:t>
            </w:r>
          </w:p>
        </w:tc>
        <w:tc>
          <w:tcPr>
            <w:tcW w:w="6515" w:type="dxa"/>
          </w:tcPr>
          <w:p w14:paraId="214DBFBA" w14:textId="77777777" w:rsidR="000D24EF" w:rsidRPr="00F10607" w:rsidRDefault="000D24EF" w:rsidP="00F10607">
            <w:pPr>
              <w:jc w:val="both"/>
              <w:rPr>
                <w:rFonts w:ascii="Arial" w:hAnsi="Arial" w:cs="Arial"/>
                <w:b/>
                <w:sz w:val="20"/>
                <w:szCs w:val="20"/>
                <w:lang w:val="en-GB"/>
              </w:rPr>
            </w:pPr>
          </w:p>
        </w:tc>
      </w:tr>
      <w:tr w:rsidR="000D24EF" w:rsidRPr="00F10607" w14:paraId="5ADC0494" w14:textId="77777777" w:rsidTr="006462EF">
        <w:trPr>
          <w:trHeight w:val="1175"/>
        </w:trPr>
        <w:tc>
          <w:tcPr>
            <w:tcW w:w="2547" w:type="dxa"/>
          </w:tcPr>
          <w:p w14:paraId="0C44552E" w14:textId="77777777" w:rsidR="000D24EF" w:rsidRPr="00F10607" w:rsidRDefault="000D24EF" w:rsidP="00F10607">
            <w:pPr>
              <w:jc w:val="both"/>
              <w:rPr>
                <w:rFonts w:ascii="Arial" w:hAnsi="Arial" w:cs="Arial"/>
                <w:sz w:val="20"/>
                <w:szCs w:val="20"/>
                <w:lang w:val="en-GB"/>
              </w:rPr>
            </w:pPr>
            <w:r w:rsidRPr="00F10607">
              <w:rPr>
                <w:rFonts w:ascii="Arial" w:hAnsi="Arial" w:cs="Arial"/>
                <w:sz w:val="20"/>
                <w:szCs w:val="20"/>
                <w:lang w:val="en-GB"/>
              </w:rPr>
              <w:t xml:space="preserve">Registration number or personal identification number </w:t>
            </w:r>
            <w:r w:rsidR="009B292F" w:rsidRPr="00F10607">
              <w:rPr>
                <w:rFonts w:ascii="Arial" w:hAnsi="Arial" w:cs="Arial"/>
                <w:sz w:val="20"/>
                <w:szCs w:val="20"/>
                <w:lang w:val="en-GB"/>
              </w:rPr>
              <w:t xml:space="preserve">(date of birth </w:t>
            </w:r>
            <w:r w:rsidRPr="00F10607">
              <w:rPr>
                <w:rFonts w:ascii="Arial" w:hAnsi="Arial" w:cs="Arial"/>
                <w:sz w:val="20"/>
                <w:szCs w:val="20"/>
                <w:lang w:val="en-GB"/>
              </w:rPr>
              <w:t>in the absence the</w:t>
            </w:r>
            <w:r w:rsidR="009B292F" w:rsidRPr="00F10607">
              <w:rPr>
                <w:rFonts w:ascii="Arial" w:hAnsi="Arial" w:cs="Arial"/>
                <w:sz w:val="20"/>
                <w:szCs w:val="20"/>
                <w:lang w:val="en-GB"/>
              </w:rPr>
              <w:t>reof)</w:t>
            </w:r>
            <w:r w:rsidR="00A640F8" w:rsidRPr="00F10607">
              <w:rPr>
                <w:rFonts w:ascii="Arial" w:hAnsi="Arial" w:cs="Arial"/>
                <w:sz w:val="20"/>
                <w:szCs w:val="20"/>
                <w:lang w:val="en-GB"/>
              </w:rPr>
              <w:t>:</w:t>
            </w:r>
          </w:p>
        </w:tc>
        <w:tc>
          <w:tcPr>
            <w:tcW w:w="6515" w:type="dxa"/>
          </w:tcPr>
          <w:p w14:paraId="34848480" w14:textId="77777777" w:rsidR="000D24EF" w:rsidRPr="00F10607" w:rsidRDefault="000D24EF" w:rsidP="00F10607">
            <w:pPr>
              <w:jc w:val="both"/>
              <w:rPr>
                <w:rFonts w:ascii="Arial" w:hAnsi="Arial" w:cs="Arial"/>
                <w:b/>
                <w:sz w:val="20"/>
                <w:szCs w:val="20"/>
                <w:lang w:val="en-GB"/>
              </w:rPr>
            </w:pPr>
          </w:p>
        </w:tc>
      </w:tr>
      <w:tr w:rsidR="000D24EF" w:rsidRPr="00F10607" w14:paraId="741C979A" w14:textId="77777777" w:rsidTr="00420945">
        <w:tc>
          <w:tcPr>
            <w:tcW w:w="2547" w:type="dxa"/>
          </w:tcPr>
          <w:p w14:paraId="45A8990D" w14:textId="77777777" w:rsidR="000D24EF" w:rsidRPr="00F10607" w:rsidRDefault="009B292F" w:rsidP="00F10607">
            <w:pPr>
              <w:jc w:val="both"/>
              <w:rPr>
                <w:rFonts w:ascii="Arial" w:hAnsi="Arial" w:cs="Arial"/>
                <w:sz w:val="20"/>
                <w:szCs w:val="20"/>
                <w:lang w:val="en-GB"/>
              </w:rPr>
            </w:pPr>
            <w:r w:rsidRPr="00F10607">
              <w:rPr>
                <w:rFonts w:ascii="Arial" w:hAnsi="Arial" w:cs="Arial"/>
                <w:sz w:val="20"/>
                <w:szCs w:val="20"/>
                <w:lang w:val="en-GB"/>
              </w:rPr>
              <w:t>Address:</w:t>
            </w:r>
          </w:p>
        </w:tc>
        <w:tc>
          <w:tcPr>
            <w:tcW w:w="6515" w:type="dxa"/>
          </w:tcPr>
          <w:p w14:paraId="70046827" w14:textId="77777777" w:rsidR="000D24EF" w:rsidRPr="00F10607" w:rsidRDefault="000D24EF" w:rsidP="00F10607">
            <w:pPr>
              <w:jc w:val="both"/>
              <w:rPr>
                <w:rFonts w:ascii="Arial" w:hAnsi="Arial" w:cs="Arial"/>
                <w:b/>
                <w:sz w:val="20"/>
                <w:szCs w:val="20"/>
                <w:lang w:val="en-GB"/>
              </w:rPr>
            </w:pPr>
          </w:p>
        </w:tc>
      </w:tr>
      <w:tr w:rsidR="000D24EF" w:rsidRPr="00F10607" w14:paraId="7502A162" w14:textId="77777777" w:rsidTr="00420945">
        <w:tc>
          <w:tcPr>
            <w:tcW w:w="2547" w:type="dxa"/>
          </w:tcPr>
          <w:p w14:paraId="07F0DD78" w14:textId="77777777" w:rsidR="000D24EF" w:rsidRPr="00F10607" w:rsidRDefault="009B292F" w:rsidP="00F10607">
            <w:pPr>
              <w:jc w:val="both"/>
              <w:rPr>
                <w:rFonts w:ascii="Arial" w:hAnsi="Arial" w:cs="Arial"/>
                <w:sz w:val="20"/>
                <w:szCs w:val="20"/>
                <w:lang w:val="en-GB"/>
              </w:rPr>
            </w:pPr>
            <w:r w:rsidRPr="00F10607">
              <w:rPr>
                <w:rFonts w:ascii="Arial" w:hAnsi="Arial" w:cs="Arial"/>
                <w:sz w:val="20"/>
                <w:szCs w:val="20"/>
                <w:lang w:val="en-GB"/>
              </w:rPr>
              <w:t>Telephone:</w:t>
            </w:r>
          </w:p>
        </w:tc>
        <w:tc>
          <w:tcPr>
            <w:tcW w:w="6515" w:type="dxa"/>
          </w:tcPr>
          <w:p w14:paraId="3E6CF513" w14:textId="77777777" w:rsidR="000D24EF" w:rsidRPr="00F10607" w:rsidRDefault="000D24EF" w:rsidP="00F10607">
            <w:pPr>
              <w:jc w:val="both"/>
              <w:rPr>
                <w:rFonts w:ascii="Arial" w:hAnsi="Arial" w:cs="Arial"/>
                <w:b/>
                <w:sz w:val="20"/>
                <w:szCs w:val="20"/>
                <w:lang w:val="en-GB"/>
              </w:rPr>
            </w:pPr>
          </w:p>
        </w:tc>
      </w:tr>
      <w:tr w:rsidR="000D24EF" w:rsidRPr="00F10607" w14:paraId="213B4C82" w14:textId="77777777" w:rsidTr="00420945">
        <w:tc>
          <w:tcPr>
            <w:tcW w:w="2547" w:type="dxa"/>
          </w:tcPr>
          <w:p w14:paraId="00F61162" w14:textId="77777777" w:rsidR="000D24EF" w:rsidRPr="00F10607" w:rsidRDefault="009B292F" w:rsidP="00F10607">
            <w:pPr>
              <w:jc w:val="both"/>
              <w:rPr>
                <w:rFonts w:ascii="Arial" w:hAnsi="Arial" w:cs="Arial"/>
                <w:sz w:val="20"/>
                <w:szCs w:val="20"/>
                <w:lang w:val="en-GB"/>
              </w:rPr>
            </w:pPr>
            <w:r w:rsidRPr="00F10607">
              <w:rPr>
                <w:rFonts w:ascii="Arial" w:hAnsi="Arial" w:cs="Arial"/>
                <w:sz w:val="20"/>
                <w:szCs w:val="20"/>
                <w:lang w:val="en-GB"/>
              </w:rPr>
              <w:t>E-mail:</w:t>
            </w:r>
          </w:p>
        </w:tc>
        <w:tc>
          <w:tcPr>
            <w:tcW w:w="6515" w:type="dxa"/>
          </w:tcPr>
          <w:p w14:paraId="7B059BEA" w14:textId="77777777" w:rsidR="000D24EF" w:rsidRPr="00F10607" w:rsidRDefault="000D24EF" w:rsidP="00F10607">
            <w:pPr>
              <w:jc w:val="both"/>
              <w:rPr>
                <w:rFonts w:ascii="Arial" w:hAnsi="Arial" w:cs="Arial"/>
                <w:b/>
                <w:sz w:val="20"/>
                <w:szCs w:val="20"/>
                <w:lang w:val="en-GB"/>
              </w:rPr>
            </w:pPr>
          </w:p>
        </w:tc>
      </w:tr>
      <w:tr w:rsidR="000D24EF" w:rsidRPr="00F10607" w14:paraId="26F79A7E" w14:textId="77777777" w:rsidTr="00420945">
        <w:tc>
          <w:tcPr>
            <w:tcW w:w="2547" w:type="dxa"/>
          </w:tcPr>
          <w:p w14:paraId="7AF2D6D6" w14:textId="77777777" w:rsidR="000D24EF" w:rsidRPr="00F10607" w:rsidRDefault="00EF7565" w:rsidP="00F10607">
            <w:pPr>
              <w:jc w:val="both"/>
              <w:rPr>
                <w:rFonts w:ascii="Arial" w:hAnsi="Arial" w:cs="Arial"/>
                <w:sz w:val="20"/>
                <w:szCs w:val="20"/>
                <w:lang w:val="en-GB"/>
              </w:rPr>
            </w:pPr>
            <w:r w:rsidRPr="00F10607">
              <w:rPr>
                <w:rFonts w:ascii="Arial" w:hAnsi="Arial" w:cs="Arial"/>
                <w:sz w:val="20"/>
                <w:szCs w:val="20"/>
                <w:lang w:val="en-GB"/>
              </w:rPr>
              <w:t>The number (IBAN) of the bank account from which the Subscription Price is paid:</w:t>
            </w:r>
          </w:p>
        </w:tc>
        <w:tc>
          <w:tcPr>
            <w:tcW w:w="6515" w:type="dxa"/>
          </w:tcPr>
          <w:p w14:paraId="5128D81C" w14:textId="77777777" w:rsidR="000D24EF" w:rsidRPr="00F10607" w:rsidRDefault="000D24EF" w:rsidP="00F10607">
            <w:pPr>
              <w:jc w:val="both"/>
              <w:rPr>
                <w:rFonts w:ascii="Arial" w:hAnsi="Arial" w:cs="Arial"/>
                <w:b/>
                <w:sz w:val="20"/>
                <w:szCs w:val="20"/>
                <w:lang w:val="en-GB"/>
              </w:rPr>
            </w:pPr>
          </w:p>
        </w:tc>
      </w:tr>
      <w:tr w:rsidR="000D24EF" w:rsidRPr="00F10607" w14:paraId="480C247D" w14:textId="77777777" w:rsidTr="00420945">
        <w:tc>
          <w:tcPr>
            <w:tcW w:w="2547" w:type="dxa"/>
          </w:tcPr>
          <w:p w14:paraId="03EE91F8" w14:textId="2ED4EF5B" w:rsidR="000D24EF" w:rsidRPr="00F10607" w:rsidRDefault="00A640F8" w:rsidP="00BB2257">
            <w:pPr>
              <w:jc w:val="both"/>
              <w:rPr>
                <w:rFonts w:ascii="Arial" w:hAnsi="Arial" w:cs="Arial"/>
                <w:sz w:val="20"/>
                <w:szCs w:val="20"/>
                <w:lang w:val="en-GB"/>
              </w:rPr>
            </w:pPr>
            <w:r w:rsidRPr="00F10607">
              <w:rPr>
                <w:rFonts w:ascii="Arial" w:hAnsi="Arial" w:cs="Arial"/>
                <w:sz w:val="20"/>
                <w:szCs w:val="20"/>
                <w:lang w:val="en-GB"/>
              </w:rPr>
              <w:t>T</w:t>
            </w:r>
            <w:r w:rsidR="00DB1B9A" w:rsidRPr="00F10607">
              <w:rPr>
                <w:rFonts w:ascii="Arial" w:hAnsi="Arial" w:cs="Arial"/>
                <w:sz w:val="20"/>
                <w:szCs w:val="20"/>
                <w:lang w:val="en-GB"/>
              </w:rPr>
              <w:t>he name of the owner of</w:t>
            </w:r>
            <w:r w:rsidRPr="00F10607">
              <w:rPr>
                <w:rFonts w:ascii="Arial" w:hAnsi="Arial" w:cs="Arial"/>
                <w:sz w:val="20"/>
                <w:szCs w:val="20"/>
                <w:lang w:val="en-GB"/>
              </w:rPr>
              <w:t xml:space="preserve"> the securities account and the number of the securities account:</w:t>
            </w:r>
          </w:p>
        </w:tc>
        <w:tc>
          <w:tcPr>
            <w:tcW w:w="6515" w:type="dxa"/>
          </w:tcPr>
          <w:p w14:paraId="7262816D" w14:textId="77777777" w:rsidR="000D24EF" w:rsidRPr="00F10607" w:rsidRDefault="000D24EF" w:rsidP="00F10607">
            <w:pPr>
              <w:jc w:val="both"/>
              <w:rPr>
                <w:rFonts w:ascii="Arial" w:hAnsi="Arial" w:cs="Arial"/>
                <w:b/>
                <w:sz w:val="20"/>
                <w:szCs w:val="20"/>
                <w:lang w:val="en-GB"/>
              </w:rPr>
            </w:pPr>
          </w:p>
        </w:tc>
      </w:tr>
    </w:tbl>
    <w:p w14:paraId="14E0ACD9" w14:textId="77777777" w:rsidR="00285F55" w:rsidRPr="00F10607" w:rsidRDefault="00285F55" w:rsidP="00F10607">
      <w:pPr>
        <w:pStyle w:val="Paragraph"/>
        <w:spacing w:before="0" w:after="0"/>
        <w:ind w:left="720"/>
        <w:rPr>
          <w:rFonts w:cs="Arial"/>
        </w:rPr>
      </w:pPr>
    </w:p>
    <w:p w14:paraId="0A53C7B8" w14:textId="77777777" w:rsidR="00BE7A4D" w:rsidRPr="00F10607" w:rsidRDefault="00BE7A4D" w:rsidP="00F10607">
      <w:pPr>
        <w:pStyle w:val="Paragraph"/>
        <w:numPr>
          <w:ilvl w:val="0"/>
          <w:numId w:val="2"/>
        </w:numPr>
        <w:spacing w:before="0" w:after="0"/>
        <w:rPr>
          <w:rFonts w:cs="Arial"/>
        </w:rPr>
      </w:pPr>
      <w:r w:rsidRPr="00F10607">
        <w:rPr>
          <w:rFonts w:cs="Arial"/>
        </w:rPr>
        <w:t>Information about the Subscription Undertaking</w:t>
      </w:r>
    </w:p>
    <w:p w14:paraId="4B218AE0" w14:textId="77777777" w:rsidR="00843696" w:rsidRPr="00F10607" w:rsidRDefault="00843696" w:rsidP="00F10607">
      <w:pPr>
        <w:pStyle w:val="Paragraph"/>
        <w:spacing w:before="0" w:after="0"/>
        <w:rPr>
          <w:rFonts w:cs="Arial"/>
        </w:rPr>
      </w:pPr>
    </w:p>
    <w:tbl>
      <w:tblPr>
        <w:tblStyle w:val="TableGrid"/>
        <w:tblW w:w="9067" w:type="dxa"/>
        <w:tblLook w:val="04A0" w:firstRow="1" w:lastRow="0" w:firstColumn="1" w:lastColumn="0" w:noHBand="0" w:noVBand="1"/>
      </w:tblPr>
      <w:tblGrid>
        <w:gridCol w:w="2547"/>
        <w:gridCol w:w="6520"/>
      </w:tblGrid>
      <w:tr w:rsidR="00BC7E01" w:rsidRPr="00F10607" w14:paraId="0A5030C4" w14:textId="77777777" w:rsidTr="00420945">
        <w:tc>
          <w:tcPr>
            <w:tcW w:w="2547" w:type="dxa"/>
          </w:tcPr>
          <w:p w14:paraId="60D99395" w14:textId="77777777" w:rsidR="00BC7E01" w:rsidRPr="00F10607" w:rsidRDefault="00BC7E01" w:rsidP="00F10607">
            <w:pPr>
              <w:jc w:val="both"/>
              <w:rPr>
                <w:rFonts w:ascii="Arial" w:hAnsi="Arial" w:cs="Arial"/>
                <w:sz w:val="20"/>
                <w:szCs w:val="20"/>
                <w:lang w:val="en-GB"/>
              </w:rPr>
            </w:pPr>
            <w:r w:rsidRPr="00F10607">
              <w:rPr>
                <w:rFonts w:ascii="Arial" w:hAnsi="Arial" w:cs="Arial"/>
                <w:sz w:val="20"/>
                <w:szCs w:val="20"/>
                <w:lang w:val="en-GB"/>
              </w:rPr>
              <w:t>Date of the Subscription Undertaking:</w:t>
            </w:r>
          </w:p>
        </w:tc>
        <w:tc>
          <w:tcPr>
            <w:tcW w:w="6520" w:type="dxa"/>
          </w:tcPr>
          <w:p w14:paraId="15FF9DAA" w14:textId="77777777" w:rsidR="00BC7E01" w:rsidRPr="00F10607" w:rsidRDefault="00BC7E01" w:rsidP="00F10607">
            <w:pPr>
              <w:jc w:val="both"/>
              <w:rPr>
                <w:rFonts w:ascii="Arial" w:hAnsi="Arial" w:cs="Arial"/>
                <w:sz w:val="20"/>
                <w:szCs w:val="20"/>
                <w:lang w:val="en-GB"/>
              </w:rPr>
            </w:pPr>
          </w:p>
        </w:tc>
      </w:tr>
      <w:tr w:rsidR="004029A9" w:rsidRPr="00F10607" w14:paraId="73454FBE" w14:textId="77777777" w:rsidTr="00420945">
        <w:tc>
          <w:tcPr>
            <w:tcW w:w="2547" w:type="dxa"/>
          </w:tcPr>
          <w:p w14:paraId="57893BF7" w14:textId="77777777" w:rsidR="004029A9" w:rsidRPr="00F10607" w:rsidRDefault="00CF391D" w:rsidP="00F10607">
            <w:pPr>
              <w:jc w:val="both"/>
              <w:rPr>
                <w:rFonts w:ascii="Arial" w:hAnsi="Arial" w:cs="Arial"/>
                <w:sz w:val="20"/>
                <w:szCs w:val="20"/>
                <w:lang w:val="en-GB"/>
              </w:rPr>
            </w:pPr>
            <w:r>
              <w:rPr>
                <w:rFonts w:ascii="Arial" w:hAnsi="Arial" w:cs="Arial"/>
                <w:sz w:val="20"/>
                <w:szCs w:val="20"/>
                <w:lang w:val="en-GB"/>
              </w:rPr>
              <w:t>Offer</w:t>
            </w:r>
            <w:r w:rsidR="00375E13" w:rsidRPr="00F10607">
              <w:rPr>
                <w:rFonts w:ascii="Arial" w:hAnsi="Arial" w:cs="Arial"/>
                <w:sz w:val="20"/>
                <w:szCs w:val="20"/>
                <w:lang w:val="en-GB"/>
              </w:rPr>
              <w:t xml:space="preserve"> Price</w:t>
            </w:r>
            <w:r w:rsidR="00C73757" w:rsidRPr="00F10607">
              <w:rPr>
                <w:rFonts w:ascii="Arial" w:hAnsi="Arial" w:cs="Arial"/>
                <w:sz w:val="20"/>
                <w:szCs w:val="20"/>
                <w:lang w:val="en-GB"/>
              </w:rPr>
              <w:t xml:space="preserve"> </w:t>
            </w:r>
            <w:r w:rsidR="004029A9" w:rsidRPr="00F10607">
              <w:rPr>
                <w:rFonts w:ascii="Arial" w:hAnsi="Arial" w:cs="Arial"/>
                <w:sz w:val="20"/>
                <w:szCs w:val="20"/>
                <w:lang w:val="en-GB"/>
              </w:rPr>
              <w:t>(EUR)</w:t>
            </w:r>
          </w:p>
        </w:tc>
        <w:tc>
          <w:tcPr>
            <w:tcW w:w="6520" w:type="dxa"/>
          </w:tcPr>
          <w:p w14:paraId="46CE4BF8" w14:textId="77777777" w:rsidR="004029A9" w:rsidRPr="00F10607" w:rsidRDefault="00E77742" w:rsidP="00F10607">
            <w:pPr>
              <w:jc w:val="both"/>
              <w:rPr>
                <w:rFonts w:ascii="Arial" w:hAnsi="Arial" w:cs="Arial"/>
                <w:sz w:val="20"/>
                <w:szCs w:val="20"/>
                <w:lang w:val="en-GB"/>
              </w:rPr>
            </w:pPr>
            <w:r w:rsidRPr="00F10607">
              <w:rPr>
                <w:rFonts w:ascii="Arial" w:hAnsi="Arial" w:cs="Arial"/>
                <w:sz w:val="20"/>
                <w:szCs w:val="20"/>
                <w:lang w:val="en-GB"/>
              </w:rPr>
              <w:t xml:space="preserve">Number of Shares subscribed for with the corresponding </w:t>
            </w:r>
            <w:r w:rsidR="00375E13" w:rsidRPr="00F10607">
              <w:rPr>
                <w:rFonts w:ascii="Arial" w:hAnsi="Arial" w:cs="Arial"/>
                <w:sz w:val="20"/>
                <w:szCs w:val="20"/>
                <w:lang w:val="en-GB"/>
              </w:rPr>
              <w:t>price:</w:t>
            </w:r>
          </w:p>
        </w:tc>
      </w:tr>
      <w:tr w:rsidR="004029A9" w:rsidRPr="00F10607" w14:paraId="45CBB4D0" w14:textId="77777777" w:rsidTr="00420945">
        <w:trPr>
          <w:trHeight w:val="120"/>
        </w:trPr>
        <w:tc>
          <w:tcPr>
            <w:tcW w:w="2547" w:type="dxa"/>
          </w:tcPr>
          <w:p w14:paraId="45112662" w14:textId="518C3E74" w:rsidR="004029A9" w:rsidRPr="00F10607" w:rsidRDefault="004029A9" w:rsidP="00F10607">
            <w:pPr>
              <w:jc w:val="both"/>
              <w:rPr>
                <w:rFonts w:ascii="Arial" w:hAnsi="Arial" w:cs="Arial"/>
                <w:sz w:val="20"/>
                <w:szCs w:val="20"/>
                <w:lang w:val="en-GB"/>
              </w:rPr>
            </w:pPr>
            <w:r w:rsidRPr="00F10607">
              <w:rPr>
                <w:rFonts w:ascii="Arial" w:hAnsi="Arial" w:cs="Arial"/>
                <w:sz w:val="20"/>
                <w:szCs w:val="20"/>
                <w:lang w:val="en-GB"/>
              </w:rPr>
              <w:t>1</w:t>
            </w:r>
            <w:r w:rsidR="00CA388B">
              <w:rPr>
                <w:rFonts w:ascii="Arial" w:hAnsi="Arial" w:cs="Arial"/>
                <w:sz w:val="20"/>
                <w:szCs w:val="20"/>
                <w:lang w:val="en-GB"/>
              </w:rPr>
              <w:t>.</w:t>
            </w:r>
            <w:r w:rsidRPr="00F10607">
              <w:rPr>
                <w:rFonts w:ascii="Arial" w:hAnsi="Arial" w:cs="Arial"/>
                <w:sz w:val="20"/>
                <w:szCs w:val="20"/>
                <w:lang w:val="en-GB"/>
              </w:rPr>
              <w:t>80</w:t>
            </w:r>
          </w:p>
        </w:tc>
        <w:tc>
          <w:tcPr>
            <w:tcW w:w="6520" w:type="dxa"/>
          </w:tcPr>
          <w:p w14:paraId="3DFA48E8" w14:textId="77777777" w:rsidR="004029A9" w:rsidRPr="00F10607" w:rsidRDefault="004029A9" w:rsidP="00F10607">
            <w:pPr>
              <w:jc w:val="both"/>
              <w:rPr>
                <w:rFonts w:ascii="Arial" w:hAnsi="Arial" w:cs="Arial"/>
                <w:sz w:val="20"/>
                <w:szCs w:val="20"/>
                <w:lang w:val="en-GB"/>
              </w:rPr>
            </w:pPr>
          </w:p>
        </w:tc>
      </w:tr>
      <w:tr w:rsidR="004029A9" w:rsidRPr="00F10607" w14:paraId="2BA0F35E" w14:textId="77777777" w:rsidTr="00420945">
        <w:trPr>
          <w:trHeight w:val="116"/>
        </w:trPr>
        <w:tc>
          <w:tcPr>
            <w:tcW w:w="2547" w:type="dxa"/>
          </w:tcPr>
          <w:p w14:paraId="32E462CF" w14:textId="47F767A5" w:rsidR="004029A9" w:rsidRPr="00F10607" w:rsidRDefault="004029A9" w:rsidP="00F10607">
            <w:pPr>
              <w:jc w:val="both"/>
              <w:rPr>
                <w:rFonts w:ascii="Arial" w:hAnsi="Arial" w:cs="Arial"/>
                <w:sz w:val="20"/>
                <w:szCs w:val="20"/>
                <w:lang w:val="en-GB"/>
              </w:rPr>
            </w:pPr>
            <w:r w:rsidRPr="00F10607">
              <w:rPr>
                <w:rFonts w:ascii="Arial" w:hAnsi="Arial" w:cs="Arial"/>
                <w:sz w:val="20"/>
                <w:szCs w:val="20"/>
                <w:lang w:val="en-GB"/>
              </w:rPr>
              <w:t>1</w:t>
            </w:r>
            <w:r w:rsidR="00CA388B">
              <w:rPr>
                <w:rFonts w:ascii="Arial" w:hAnsi="Arial" w:cs="Arial"/>
                <w:sz w:val="20"/>
                <w:szCs w:val="20"/>
                <w:lang w:val="en-GB"/>
              </w:rPr>
              <w:t>.</w:t>
            </w:r>
            <w:r w:rsidRPr="00F10607">
              <w:rPr>
                <w:rFonts w:ascii="Arial" w:hAnsi="Arial" w:cs="Arial"/>
                <w:sz w:val="20"/>
                <w:szCs w:val="20"/>
                <w:lang w:val="en-GB"/>
              </w:rPr>
              <w:t>90</w:t>
            </w:r>
          </w:p>
        </w:tc>
        <w:tc>
          <w:tcPr>
            <w:tcW w:w="6520" w:type="dxa"/>
          </w:tcPr>
          <w:p w14:paraId="7EAF7178" w14:textId="77777777" w:rsidR="004029A9" w:rsidRPr="00F10607" w:rsidRDefault="004029A9" w:rsidP="00F10607">
            <w:pPr>
              <w:jc w:val="both"/>
              <w:rPr>
                <w:rFonts w:ascii="Arial" w:hAnsi="Arial" w:cs="Arial"/>
                <w:sz w:val="20"/>
                <w:szCs w:val="20"/>
                <w:lang w:val="en-GB"/>
              </w:rPr>
            </w:pPr>
          </w:p>
        </w:tc>
      </w:tr>
      <w:tr w:rsidR="004029A9" w:rsidRPr="00F10607" w14:paraId="0E5A977D" w14:textId="77777777" w:rsidTr="00420945">
        <w:trPr>
          <w:trHeight w:val="116"/>
        </w:trPr>
        <w:tc>
          <w:tcPr>
            <w:tcW w:w="2547" w:type="dxa"/>
          </w:tcPr>
          <w:p w14:paraId="58A530D8" w14:textId="0C69D648" w:rsidR="004029A9" w:rsidRPr="00F10607" w:rsidRDefault="004029A9" w:rsidP="00F10607">
            <w:pPr>
              <w:jc w:val="both"/>
              <w:rPr>
                <w:rFonts w:ascii="Arial" w:hAnsi="Arial" w:cs="Arial"/>
                <w:sz w:val="20"/>
                <w:szCs w:val="20"/>
                <w:lang w:val="en-GB"/>
              </w:rPr>
            </w:pPr>
            <w:r w:rsidRPr="00F10607">
              <w:rPr>
                <w:rFonts w:ascii="Arial" w:hAnsi="Arial" w:cs="Arial"/>
                <w:sz w:val="20"/>
                <w:szCs w:val="20"/>
                <w:lang w:val="en-GB"/>
              </w:rPr>
              <w:t>2</w:t>
            </w:r>
            <w:r w:rsidR="00CA388B">
              <w:rPr>
                <w:rFonts w:ascii="Arial" w:hAnsi="Arial" w:cs="Arial"/>
                <w:sz w:val="20"/>
                <w:szCs w:val="20"/>
                <w:lang w:val="en-GB"/>
              </w:rPr>
              <w:t>.</w:t>
            </w:r>
            <w:r w:rsidRPr="00F10607">
              <w:rPr>
                <w:rFonts w:ascii="Arial" w:hAnsi="Arial" w:cs="Arial"/>
                <w:sz w:val="20"/>
                <w:szCs w:val="20"/>
                <w:lang w:val="en-GB"/>
              </w:rPr>
              <w:t>00</w:t>
            </w:r>
          </w:p>
        </w:tc>
        <w:tc>
          <w:tcPr>
            <w:tcW w:w="6520" w:type="dxa"/>
          </w:tcPr>
          <w:p w14:paraId="544FA430" w14:textId="77777777" w:rsidR="004029A9" w:rsidRPr="00F10607" w:rsidRDefault="004029A9" w:rsidP="00F10607">
            <w:pPr>
              <w:jc w:val="both"/>
              <w:rPr>
                <w:rFonts w:ascii="Arial" w:hAnsi="Arial" w:cs="Arial"/>
                <w:sz w:val="20"/>
                <w:szCs w:val="20"/>
                <w:lang w:val="en-GB"/>
              </w:rPr>
            </w:pPr>
          </w:p>
        </w:tc>
      </w:tr>
      <w:tr w:rsidR="004029A9" w:rsidRPr="00F10607" w14:paraId="2EE63AE7" w14:textId="77777777" w:rsidTr="00420945">
        <w:trPr>
          <w:trHeight w:val="116"/>
        </w:trPr>
        <w:tc>
          <w:tcPr>
            <w:tcW w:w="2547" w:type="dxa"/>
          </w:tcPr>
          <w:p w14:paraId="447245EA" w14:textId="7AEB0C2D" w:rsidR="004029A9" w:rsidRPr="00F10607" w:rsidRDefault="004029A9" w:rsidP="00F10607">
            <w:pPr>
              <w:jc w:val="both"/>
              <w:rPr>
                <w:rFonts w:ascii="Arial" w:hAnsi="Arial" w:cs="Arial"/>
                <w:sz w:val="20"/>
                <w:szCs w:val="20"/>
                <w:lang w:val="en-GB"/>
              </w:rPr>
            </w:pPr>
            <w:r w:rsidRPr="00F10607">
              <w:rPr>
                <w:rFonts w:ascii="Arial" w:hAnsi="Arial" w:cs="Arial"/>
                <w:sz w:val="20"/>
                <w:szCs w:val="20"/>
                <w:lang w:val="en-GB"/>
              </w:rPr>
              <w:t>2</w:t>
            </w:r>
            <w:r w:rsidR="00CA388B">
              <w:rPr>
                <w:rFonts w:ascii="Arial" w:hAnsi="Arial" w:cs="Arial"/>
                <w:sz w:val="20"/>
                <w:szCs w:val="20"/>
                <w:lang w:val="en-GB"/>
              </w:rPr>
              <w:t>.</w:t>
            </w:r>
            <w:r w:rsidRPr="00F10607">
              <w:rPr>
                <w:rFonts w:ascii="Arial" w:hAnsi="Arial" w:cs="Arial"/>
                <w:sz w:val="20"/>
                <w:szCs w:val="20"/>
                <w:lang w:val="en-GB"/>
              </w:rPr>
              <w:t>10</w:t>
            </w:r>
          </w:p>
        </w:tc>
        <w:tc>
          <w:tcPr>
            <w:tcW w:w="6520" w:type="dxa"/>
          </w:tcPr>
          <w:p w14:paraId="6EF101FD" w14:textId="77777777" w:rsidR="004029A9" w:rsidRPr="00F10607" w:rsidRDefault="004029A9" w:rsidP="00F10607">
            <w:pPr>
              <w:jc w:val="both"/>
              <w:rPr>
                <w:rFonts w:ascii="Arial" w:hAnsi="Arial" w:cs="Arial"/>
                <w:sz w:val="20"/>
                <w:szCs w:val="20"/>
                <w:lang w:val="en-GB"/>
              </w:rPr>
            </w:pPr>
          </w:p>
        </w:tc>
      </w:tr>
      <w:tr w:rsidR="004029A9" w:rsidRPr="00F10607" w14:paraId="078B361F" w14:textId="77777777" w:rsidTr="00420945">
        <w:trPr>
          <w:trHeight w:val="116"/>
        </w:trPr>
        <w:tc>
          <w:tcPr>
            <w:tcW w:w="2547" w:type="dxa"/>
          </w:tcPr>
          <w:p w14:paraId="516E6A49" w14:textId="5D15AE8A" w:rsidR="004029A9" w:rsidRPr="00F10607" w:rsidRDefault="004029A9" w:rsidP="00F10607">
            <w:pPr>
              <w:jc w:val="both"/>
              <w:rPr>
                <w:rFonts w:ascii="Arial" w:hAnsi="Arial" w:cs="Arial"/>
                <w:sz w:val="20"/>
                <w:szCs w:val="20"/>
                <w:lang w:val="en-GB"/>
              </w:rPr>
            </w:pPr>
            <w:r w:rsidRPr="00F10607">
              <w:rPr>
                <w:rFonts w:ascii="Arial" w:hAnsi="Arial" w:cs="Arial"/>
                <w:sz w:val="20"/>
                <w:szCs w:val="20"/>
                <w:lang w:val="en-GB"/>
              </w:rPr>
              <w:t>2</w:t>
            </w:r>
            <w:r w:rsidR="00CA388B">
              <w:rPr>
                <w:rFonts w:ascii="Arial" w:hAnsi="Arial" w:cs="Arial"/>
                <w:sz w:val="20"/>
                <w:szCs w:val="20"/>
                <w:lang w:val="en-GB"/>
              </w:rPr>
              <w:t>.</w:t>
            </w:r>
            <w:r w:rsidRPr="00F10607">
              <w:rPr>
                <w:rFonts w:ascii="Arial" w:hAnsi="Arial" w:cs="Arial"/>
                <w:sz w:val="20"/>
                <w:szCs w:val="20"/>
                <w:lang w:val="en-GB"/>
              </w:rPr>
              <w:t>20</w:t>
            </w:r>
          </w:p>
        </w:tc>
        <w:tc>
          <w:tcPr>
            <w:tcW w:w="6520" w:type="dxa"/>
          </w:tcPr>
          <w:p w14:paraId="13F05F78" w14:textId="77777777" w:rsidR="004029A9" w:rsidRPr="00F10607" w:rsidRDefault="004029A9" w:rsidP="00F10607">
            <w:pPr>
              <w:jc w:val="both"/>
              <w:rPr>
                <w:rFonts w:ascii="Arial" w:hAnsi="Arial" w:cs="Arial"/>
                <w:sz w:val="20"/>
                <w:szCs w:val="20"/>
                <w:lang w:val="en-GB"/>
              </w:rPr>
            </w:pPr>
          </w:p>
        </w:tc>
      </w:tr>
      <w:tr w:rsidR="004029A9" w:rsidRPr="00F10607" w14:paraId="09F230E8" w14:textId="77777777" w:rsidTr="00420945">
        <w:trPr>
          <w:trHeight w:val="116"/>
        </w:trPr>
        <w:tc>
          <w:tcPr>
            <w:tcW w:w="2547" w:type="dxa"/>
          </w:tcPr>
          <w:p w14:paraId="02A7E73B" w14:textId="5A95233D" w:rsidR="004029A9" w:rsidRPr="00F10607" w:rsidRDefault="004029A9" w:rsidP="00F10607">
            <w:pPr>
              <w:jc w:val="both"/>
              <w:rPr>
                <w:rFonts w:ascii="Arial" w:hAnsi="Arial" w:cs="Arial"/>
                <w:sz w:val="20"/>
                <w:szCs w:val="20"/>
                <w:lang w:val="en-GB"/>
              </w:rPr>
            </w:pPr>
            <w:r w:rsidRPr="00F10607">
              <w:rPr>
                <w:rFonts w:ascii="Arial" w:hAnsi="Arial" w:cs="Arial"/>
                <w:sz w:val="20"/>
                <w:szCs w:val="20"/>
                <w:lang w:val="en-GB"/>
              </w:rPr>
              <w:t>2</w:t>
            </w:r>
            <w:r w:rsidR="00CA388B">
              <w:rPr>
                <w:rFonts w:ascii="Arial" w:hAnsi="Arial" w:cs="Arial"/>
                <w:sz w:val="20"/>
                <w:szCs w:val="20"/>
                <w:lang w:val="en-GB"/>
              </w:rPr>
              <w:t>.</w:t>
            </w:r>
            <w:r w:rsidRPr="00F10607">
              <w:rPr>
                <w:rFonts w:ascii="Arial" w:hAnsi="Arial" w:cs="Arial"/>
                <w:sz w:val="20"/>
                <w:szCs w:val="20"/>
                <w:lang w:val="en-GB"/>
              </w:rPr>
              <w:t>30</w:t>
            </w:r>
          </w:p>
        </w:tc>
        <w:tc>
          <w:tcPr>
            <w:tcW w:w="6520" w:type="dxa"/>
          </w:tcPr>
          <w:p w14:paraId="7E5E7D19" w14:textId="77777777" w:rsidR="004029A9" w:rsidRPr="00F10607" w:rsidRDefault="004029A9" w:rsidP="00F10607">
            <w:pPr>
              <w:jc w:val="both"/>
              <w:rPr>
                <w:rFonts w:ascii="Arial" w:hAnsi="Arial" w:cs="Arial"/>
                <w:sz w:val="20"/>
                <w:szCs w:val="20"/>
                <w:lang w:val="en-GB"/>
              </w:rPr>
            </w:pPr>
          </w:p>
        </w:tc>
      </w:tr>
    </w:tbl>
    <w:p w14:paraId="2B4AF266" w14:textId="77777777" w:rsidR="00E47575" w:rsidRPr="00F10607" w:rsidRDefault="00E47575" w:rsidP="00F10607">
      <w:pPr>
        <w:pStyle w:val="Paragraph"/>
        <w:spacing w:before="0" w:after="0"/>
        <w:rPr>
          <w:rFonts w:cs="Arial"/>
        </w:rPr>
      </w:pPr>
    </w:p>
    <w:p w14:paraId="7541FCC8" w14:textId="77777777" w:rsidR="00285F55" w:rsidRPr="00F10607" w:rsidRDefault="00285F55" w:rsidP="00F10607">
      <w:pPr>
        <w:pStyle w:val="Paragraph"/>
        <w:numPr>
          <w:ilvl w:val="0"/>
          <w:numId w:val="2"/>
        </w:numPr>
        <w:spacing w:before="0" w:after="0"/>
        <w:rPr>
          <w:rFonts w:cs="Arial"/>
        </w:rPr>
      </w:pPr>
      <w:r w:rsidRPr="00F10607">
        <w:rPr>
          <w:rFonts w:cs="Arial"/>
        </w:rPr>
        <w:t>T</w:t>
      </w:r>
      <w:r w:rsidR="00851FDC" w:rsidRPr="00F10607">
        <w:rPr>
          <w:rFonts w:cs="Arial"/>
        </w:rPr>
        <w:t xml:space="preserve">he submitter of this Subscription Undertaking (the </w:t>
      </w:r>
      <w:r w:rsidR="00CA5F69" w:rsidRPr="00F10607">
        <w:rPr>
          <w:rFonts w:cs="Arial"/>
        </w:rPr>
        <w:t>Investor</w:t>
      </w:r>
      <w:r w:rsidR="00851FDC" w:rsidRPr="00F10607">
        <w:rPr>
          <w:rFonts w:cs="Arial"/>
        </w:rPr>
        <w:t>)</w:t>
      </w:r>
      <w:r w:rsidR="00CA5F69" w:rsidRPr="00F10607">
        <w:rPr>
          <w:rFonts w:cs="Arial"/>
        </w:rPr>
        <w:t xml:space="preserve"> </w:t>
      </w:r>
      <w:r w:rsidRPr="00F10607">
        <w:rPr>
          <w:rFonts w:cs="Arial"/>
        </w:rPr>
        <w:t xml:space="preserve">hereby confirms </w:t>
      </w:r>
      <w:r w:rsidR="00CA5F69" w:rsidRPr="00F10607">
        <w:rPr>
          <w:rFonts w:cs="Arial"/>
        </w:rPr>
        <w:t xml:space="preserve">that: </w:t>
      </w:r>
    </w:p>
    <w:p w14:paraId="7F8B7AAA" w14:textId="77777777" w:rsidR="00285F55" w:rsidRPr="00F10607" w:rsidRDefault="00CA5F69" w:rsidP="00F10607">
      <w:pPr>
        <w:pStyle w:val="Paragraph"/>
        <w:numPr>
          <w:ilvl w:val="0"/>
          <w:numId w:val="5"/>
        </w:numPr>
        <w:spacing w:before="0" w:after="0"/>
        <w:rPr>
          <w:rFonts w:cs="Arial"/>
        </w:rPr>
      </w:pPr>
      <w:r w:rsidRPr="00F10607">
        <w:rPr>
          <w:rFonts w:cs="Arial"/>
        </w:rPr>
        <w:t xml:space="preserve">the Investor is aware of all information set out in the Prospectus and accepts all terms and conditions of the Offering and agrees with the Company on the application of them; </w:t>
      </w:r>
    </w:p>
    <w:p w14:paraId="24EDCF42" w14:textId="77777777" w:rsidR="00285F55" w:rsidRPr="00F10607" w:rsidRDefault="00CA5F69" w:rsidP="00F10607">
      <w:pPr>
        <w:pStyle w:val="Paragraph"/>
        <w:numPr>
          <w:ilvl w:val="0"/>
          <w:numId w:val="5"/>
        </w:numPr>
        <w:spacing w:before="0" w:after="0"/>
        <w:rPr>
          <w:rFonts w:cs="Arial"/>
        </w:rPr>
      </w:pPr>
      <w:r w:rsidRPr="00F10607">
        <w:rPr>
          <w:rFonts w:cs="Arial"/>
        </w:rPr>
        <w:t xml:space="preserve">the Offering to the Investor and the issuance of Shares pursuant to the Subscription Undertaking does not require any extra registration, prospectus or other measures in addition to those necessary under Estonian law and taken by the Company; </w:t>
      </w:r>
    </w:p>
    <w:p w14:paraId="5234E86C" w14:textId="73E19E78" w:rsidR="00285F55" w:rsidRPr="00F10607" w:rsidRDefault="00CA5F69" w:rsidP="00F10607">
      <w:pPr>
        <w:pStyle w:val="Paragraph"/>
        <w:numPr>
          <w:ilvl w:val="0"/>
          <w:numId w:val="5"/>
        </w:numPr>
        <w:spacing w:before="0" w:after="0"/>
        <w:rPr>
          <w:rFonts w:cs="Arial"/>
        </w:rPr>
      </w:pPr>
      <w:r w:rsidRPr="00F10607">
        <w:rPr>
          <w:rFonts w:cs="Arial"/>
        </w:rPr>
        <w:t>the Investor acknowledges and agrees that by submitting the Subscription Undertaking, the Investor undertakes to (a) acquire the Shares, which are subscribed for pursuant to the Subscription Undertaking and allocated by the Company on the basis thereof and (b) pay the Offer Price determined by the Supervisory Council pursuant to Section</w:t>
      </w:r>
      <w:r w:rsidR="007A67C9">
        <w:rPr>
          <w:rFonts w:cs="Arial"/>
        </w:rPr>
        <w:t xml:space="preserve"> 24.6.3</w:t>
      </w:r>
      <w:r w:rsidRPr="00F10607">
        <w:rPr>
          <w:rFonts w:cs="Arial"/>
        </w:rPr>
        <w:t xml:space="preserve"> hereof for each Share subscribed for by the Investor; </w:t>
      </w:r>
    </w:p>
    <w:p w14:paraId="52C56215" w14:textId="77777777" w:rsidR="00285F55" w:rsidRPr="00F10607" w:rsidRDefault="00CA5F69" w:rsidP="00F10607">
      <w:pPr>
        <w:pStyle w:val="Paragraph"/>
        <w:numPr>
          <w:ilvl w:val="0"/>
          <w:numId w:val="5"/>
        </w:numPr>
        <w:spacing w:before="0" w:after="0"/>
        <w:rPr>
          <w:rFonts w:cs="Arial"/>
        </w:rPr>
      </w:pPr>
      <w:r w:rsidRPr="00F10607">
        <w:rPr>
          <w:rFonts w:cs="Arial"/>
        </w:rPr>
        <w:t xml:space="preserve">the Investor acknowledges that if the Subscription Price is lower than the Offer Price determined by the Supervisory Council, no Shares will be issued pursuant to the Subscription Undertaking;   </w:t>
      </w:r>
    </w:p>
    <w:p w14:paraId="79509A37" w14:textId="77777777" w:rsidR="00285F55" w:rsidRPr="00F10607" w:rsidRDefault="00CA5F69" w:rsidP="00F10607">
      <w:pPr>
        <w:pStyle w:val="Paragraph"/>
        <w:numPr>
          <w:ilvl w:val="0"/>
          <w:numId w:val="5"/>
        </w:numPr>
        <w:spacing w:before="0" w:after="0"/>
        <w:rPr>
          <w:rFonts w:cs="Arial"/>
        </w:rPr>
      </w:pPr>
      <w:r w:rsidRPr="00F10607">
        <w:rPr>
          <w:rFonts w:cs="Arial"/>
        </w:rPr>
        <w:lastRenderedPageBreak/>
        <w:t xml:space="preserve">all information set out in the Subscription Undertaking and its appendixes is correct, complete and accurate in all respects; and </w:t>
      </w:r>
    </w:p>
    <w:p w14:paraId="243920F9" w14:textId="77777777" w:rsidR="00285F55" w:rsidRPr="00F10607" w:rsidRDefault="00CA5F69" w:rsidP="00F10607">
      <w:pPr>
        <w:pStyle w:val="Paragraph"/>
        <w:numPr>
          <w:ilvl w:val="0"/>
          <w:numId w:val="5"/>
        </w:numPr>
        <w:spacing w:before="0" w:after="0"/>
        <w:rPr>
          <w:rFonts w:cs="Arial"/>
        </w:rPr>
      </w:pPr>
      <w:r w:rsidRPr="00F10607">
        <w:rPr>
          <w:rFonts w:cs="Arial"/>
        </w:rPr>
        <w:t>the Investor accepts that if the Investor has not duly subscribed for the respective Shares in accordance with all requirements set out in the Prospectus (including if the Subscription Undertaking does not comply with all requirements or the Subscription Undertaking is delivered or the Subscription Price</w:t>
      </w:r>
      <w:r w:rsidR="007E0E45" w:rsidRPr="00F10607">
        <w:rPr>
          <w:rFonts w:cs="Arial"/>
        </w:rPr>
        <w:t xml:space="preserve"> (</w:t>
      </w:r>
      <w:r w:rsidR="00160B2A" w:rsidRPr="00F10607">
        <w:rPr>
          <w:rFonts w:cs="Arial"/>
        </w:rPr>
        <w:t xml:space="preserve">i.e. </w:t>
      </w:r>
      <w:r w:rsidR="007E0E45" w:rsidRPr="00F10607">
        <w:rPr>
          <w:rFonts w:cs="Arial"/>
        </w:rPr>
        <w:t>the highest price per Share, which the Investor is willing to pay for each Share subscribed by it)</w:t>
      </w:r>
      <w:r w:rsidRPr="00F10607">
        <w:rPr>
          <w:rFonts w:cs="Arial"/>
        </w:rPr>
        <w:t xml:space="preserve"> is paid after the end of the relevant deadline etc.) the Company may (but does not have any obligation to) issue Shares pursuant to the Subscription Undertaking and the Investor is obliged to acquire such Shares despite of the incompliances;</w:t>
      </w:r>
    </w:p>
    <w:p w14:paraId="3EB2C700" w14:textId="77777777" w:rsidR="00CA5F69" w:rsidRPr="00F10607" w:rsidRDefault="00CA5F69" w:rsidP="00F10607">
      <w:pPr>
        <w:pStyle w:val="Paragraph"/>
        <w:numPr>
          <w:ilvl w:val="0"/>
          <w:numId w:val="5"/>
        </w:numPr>
        <w:spacing w:before="0" w:after="0"/>
        <w:rPr>
          <w:rFonts w:cs="Arial"/>
        </w:rPr>
      </w:pPr>
      <w:bookmarkStart w:id="0" w:name="_GoBack"/>
      <w:r w:rsidRPr="00F10607">
        <w:rPr>
          <w:rFonts w:cs="Arial"/>
        </w:rPr>
        <w:t xml:space="preserve">the Investor accepts that the final Offer Price payable for each Share will be determined by the Supervisory Council after the end of the Offer Period pursuant to Clause 24.6.3 of the Prospectus and Company may issue 1 to 6,000,000 Shares to the Investors.  </w:t>
      </w:r>
    </w:p>
    <w:bookmarkEnd w:id="0"/>
    <w:p w14:paraId="6B891CF8" w14:textId="77777777" w:rsidR="00285F55" w:rsidRPr="00F10607" w:rsidRDefault="00285F55" w:rsidP="00F10607">
      <w:pPr>
        <w:pStyle w:val="Paragraph"/>
        <w:spacing w:before="0" w:after="0"/>
        <w:rPr>
          <w:rFonts w:cs="Arial"/>
        </w:rPr>
      </w:pPr>
    </w:p>
    <w:p w14:paraId="618AF0BC" w14:textId="6CEB23C6" w:rsidR="003E25DE" w:rsidRPr="00F10607" w:rsidRDefault="00216979" w:rsidP="00F10607">
      <w:pPr>
        <w:pStyle w:val="ListParagraph"/>
        <w:numPr>
          <w:ilvl w:val="0"/>
          <w:numId w:val="2"/>
        </w:numPr>
        <w:spacing w:after="0" w:line="240" w:lineRule="auto"/>
        <w:jc w:val="both"/>
        <w:rPr>
          <w:rFonts w:ascii="Arial" w:hAnsi="Arial" w:cs="Arial"/>
          <w:sz w:val="20"/>
          <w:szCs w:val="20"/>
          <w:lang w:val="en-GB"/>
        </w:rPr>
      </w:pPr>
      <w:r w:rsidRPr="00F10607">
        <w:rPr>
          <w:rFonts w:ascii="Arial" w:hAnsi="Arial" w:cs="Arial"/>
          <w:sz w:val="20"/>
          <w:szCs w:val="20"/>
          <w:lang w:val="en-GB"/>
        </w:rPr>
        <w:t xml:space="preserve">This Subscription </w:t>
      </w:r>
      <w:r w:rsidR="00F10607" w:rsidRPr="00F10607">
        <w:rPr>
          <w:rFonts w:ascii="Arial" w:hAnsi="Arial" w:cs="Arial"/>
          <w:sz w:val="20"/>
          <w:szCs w:val="20"/>
          <w:lang w:val="en-GB"/>
        </w:rPr>
        <w:t xml:space="preserve">Undertaking </w:t>
      </w:r>
      <w:r w:rsidR="00CA388B">
        <w:rPr>
          <w:rFonts w:ascii="Arial" w:hAnsi="Arial" w:cs="Arial"/>
          <w:sz w:val="20"/>
          <w:szCs w:val="20"/>
          <w:lang w:val="en-GB"/>
        </w:rPr>
        <w:t>is</w:t>
      </w:r>
      <w:r w:rsidR="00F10607" w:rsidRPr="00F10607">
        <w:rPr>
          <w:rFonts w:ascii="Arial" w:hAnsi="Arial" w:cs="Arial"/>
          <w:sz w:val="20"/>
          <w:szCs w:val="20"/>
          <w:lang w:val="en-GB"/>
        </w:rPr>
        <w:t xml:space="preserve"> appended by:</w:t>
      </w:r>
    </w:p>
    <w:p w14:paraId="2A423F6E" w14:textId="77777777" w:rsidR="003E25DE" w:rsidRPr="00F10607" w:rsidRDefault="00216979" w:rsidP="00F10607">
      <w:pPr>
        <w:pStyle w:val="ListParagraph"/>
        <w:numPr>
          <w:ilvl w:val="0"/>
          <w:numId w:val="8"/>
        </w:numPr>
        <w:spacing w:after="0" w:line="240" w:lineRule="auto"/>
        <w:jc w:val="both"/>
        <w:rPr>
          <w:rFonts w:ascii="Arial" w:hAnsi="Arial" w:cs="Arial"/>
          <w:sz w:val="20"/>
          <w:szCs w:val="20"/>
          <w:lang w:val="en-GB"/>
        </w:rPr>
      </w:pPr>
      <w:r w:rsidRPr="00F10607">
        <w:rPr>
          <w:rFonts w:ascii="Arial" w:hAnsi="Arial" w:cs="Arial"/>
          <w:sz w:val="20"/>
          <w:szCs w:val="20"/>
          <w:lang w:val="en-GB"/>
        </w:rPr>
        <w:t>in case the Investor is a natural person, a copy of his or her</w:t>
      </w:r>
      <w:r w:rsidR="003E25DE" w:rsidRPr="00F10607">
        <w:rPr>
          <w:rFonts w:ascii="Arial" w:hAnsi="Arial" w:cs="Arial"/>
          <w:sz w:val="20"/>
          <w:szCs w:val="20"/>
          <w:lang w:val="en-GB"/>
        </w:rPr>
        <w:t xml:space="preserve"> valid identification document;</w:t>
      </w:r>
    </w:p>
    <w:p w14:paraId="4A881E5A" w14:textId="77777777" w:rsidR="003E25DE" w:rsidRPr="00F10607" w:rsidRDefault="00216979" w:rsidP="00F10607">
      <w:pPr>
        <w:pStyle w:val="ListParagraph"/>
        <w:numPr>
          <w:ilvl w:val="0"/>
          <w:numId w:val="8"/>
        </w:numPr>
        <w:spacing w:after="0" w:line="240" w:lineRule="auto"/>
        <w:jc w:val="both"/>
        <w:rPr>
          <w:rFonts w:ascii="Arial" w:hAnsi="Arial" w:cs="Arial"/>
          <w:sz w:val="20"/>
          <w:szCs w:val="20"/>
          <w:lang w:val="en-GB"/>
        </w:rPr>
      </w:pPr>
      <w:r w:rsidRPr="00F10607">
        <w:rPr>
          <w:rFonts w:ascii="Arial" w:hAnsi="Arial" w:cs="Arial"/>
          <w:sz w:val="20"/>
          <w:szCs w:val="20"/>
          <w:lang w:val="en-GB"/>
        </w:rPr>
        <w:t xml:space="preserve">in case the Investor is a legal person, an extract from the relevant register, where that legal person has been registered; </w:t>
      </w:r>
    </w:p>
    <w:p w14:paraId="63012FCB" w14:textId="77777777" w:rsidR="003E25DE" w:rsidRPr="00F10607" w:rsidRDefault="00216979" w:rsidP="00F10607">
      <w:pPr>
        <w:pStyle w:val="ListParagraph"/>
        <w:numPr>
          <w:ilvl w:val="0"/>
          <w:numId w:val="8"/>
        </w:numPr>
        <w:spacing w:after="0" w:line="240" w:lineRule="auto"/>
        <w:jc w:val="both"/>
        <w:rPr>
          <w:rFonts w:ascii="Arial" w:hAnsi="Arial" w:cs="Arial"/>
          <w:sz w:val="20"/>
          <w:szCs w:val="20"/>
          <w:lang w:val="en-GB"/>
        </w:rPr>
      </w:pPr>
      <w:r w:rsidRPr="00F10607">
        <w:rPr>
          <w:rFonts w:ascii="Arial" w:hAnsi="Arial" w:cs="Arial"/>
          <w:sz w:val="20"/>
          <w:szCs w:val="20"/>
          <w:lang w:val="en-GB"/>
        </w:rPr>
        <w:t xml:space="preserve">in case the Subscription Undertaking has been signed on behalf of the Investor by a representative, a document (e.g. a power of attorney) proving the authority of the representative to sign the Subscription Undertaking on behalf of the respective Investor; and </w:t>
      </w:r>
    </w:p>
    <w:p w14:paraId="3F937B6D" w14:textId="77777777" w:rsidR="004C234A" w:rsidRPr="00F10607" w:rsidRDefault="00216979" w:rsidP="00F10607">
      <w:pPr>
        <w:pStyle w:val="ListParagraph"/>
        <w:numPr>
          <w:ilvl w:val="0"/>
          <w:numId w:val="8"/>
        </w:numPr>
        <w:spacing w:after="0" w:line="240" w:lineRule="auto"/>
        <w:jc w:val="both"/>
        <w:rPr>
          <w:rFonts w:ascii="Arial" w:hAnsi="Arial" w:cs="Arial"/>
          <w:sz w:val="20"/>
          <w:szCs w:val="20"/>
          <w:lang w:val="en-GB"/>
        </w:rPr>
      </w:pPr>
      <w:r w:rsidRPr="00F10607">
        <w:rPr>
          <w:rFonts w:ascii="Arial" w:hAnsi="Arial" w:cs="Arial"/>
          <w:sz w:val="20"/>
          <w:szCs w:val="20"/>
          <w:lang w:val="en-GB"/>
        </w:rPr>
        <w:t>in case the existing shares of the Company are held via a nominee account, a document issued by the owner of the respective nominee account confirming the identity of the person on whose behalf those shares are held on 4 October 2017 at the end of working time of the Securities Register (or at 23:59 (Tallinn time) if the Securities Register has not joined TARGET2-Securities by that date).</w:t>
      </w:r>
    </w:p>
    <w:p w14:paraId="17F2E808" w14:textId="51F24E75" w:rsidR="004C234A" w:rsidRDefault="004C234A" w:rsidP="00F10607">
      <w:pPr>
        <w:pStyle w:val="ListParagraph"/>
        <w:spacing w:after="0" w:line="240" w:lineRule="auto"/>
        <w:jc w:val="both"/>
        <w:rPr>
          <w:rFonts w:ascii="Arial" w:hAnsi="Arial" w:cs="Arial"/>
          <w:sz w:val="20"/>
          <w:szCs w:val="20"/>
          <w:lang w:val="en-GB"/>
        </w:rPr>
      </w:pPr>
    </w:p>
    <w:p w14:paraId="57B8BEDC" w14:textId="77777777" w:rsidR="00CA388B" w:rsidRPr="00F10607" w:rsidRDefault="00CA388B" w:rsidP="00F10607">
      <w:pPr>
        <w:pStyle w:val="ListParagraph"/>
        <w:spacing w:after="0" w:line="240" w:lineRule="auto"/>
        <w:jc w:val="both"/>
        <w:rPr>
          <w:rFonts w:ascii="Arial" w:hAnsi="Arial" w:cs="Arial"/>
          <w:sz w:val="20"/>
          <w:szCs w:val="20"/>
          <w:lang w:val="en-GB"/>
        </w:rPr>
      </w:pPr>
    </w:p>
    <w:tbl>
      <w:tblPr>
        <w:tblStyle w:val="TableGrid"/>
        <w:tblW w:w="9067" w:type="dxa"/>
        <w:tblLook w:val="04A0" w:firstRow="1" w:lastRow="0" w:firstColumn="1" w:lastColumn="0" w:noHBand="0" w:noVBand="1"/>
      </w:tblPr>
      <w:tblGrid>
        <w:gridCol w:w="2547"/>
        <w:gridCol w:w="6520"/>
      </w:tblGrid>
      <w:tr w:rsidR="004C234A" w:rsidRPr="00F10607" w14:paraId="735772BF" w14:textId="77777777" w:rsidTr="00420945">
        <w:tc>
          <w:tcPr>
            <w:tcW w:w="2547" w:type="dxa"/>
          </w:tcPr>
          <w:p w14:paraId="37CF96B8" w14:textId="43A81893" w:rsidR="004C234A" w:rsidRPr="00F10607" w:rsidRDefault="004C234A" w:rsidP="00F10607">
            <w:pPr>
              <w:jc w:val="both"/>
              <w:rPr>
                <w:rFonts w:ascii="Arial" w:hAnsi="Arial" w:cs="Arial"/>
                <w:sz w:val="20"/>
                <w:szCs w:val="20"/>
                <w:lang w:val="en-GB"/>
              </w:rPr>
            </w:pPr>
            <w:r w:rsidRPr="00F10607">
              <w:rPr>
                <w:rFonts w:ascii="Arial" w:hAnsi="Arial" w:cs="Arial"/>
                <w:sz w:val="20"/>
                <w:szCs w:val="20"/>
                <w:lang w:val="en-GB"/>
              </w:rPr>
              <w:t>Name</w:t>
            </w:r>
            <w:r w:rsidR="00CA388B">
              <w:rPr>
                <w:rFonts w:ascii="Arial" w:hAnsi="Arial" w:cs="Arial"/>
                <w:sz w:val="20"/>
                <w:szCs w:val="20"/>
                <w:lang w:val="en-GB"/>
              </w:rPr>
              <w:t>:</w:t>
            </w:r>
          </w:p>
        </w:tc>
        <w:tc>
          <w:tcPr>
            <w:tcW w:w="6520" w:type="dxa"/>
          </w:tcPr>
          <w:p w14:paraId="31D5D4F4" w14:textId="77777777" w:rsidR="004C234A" w:rsidRPr="00F10607" w:rsidRDefault="004C234A" w:rsidP="00F10607">
            <w:pPr>
              <w:jc w:val="both"/>
              <w:rPr>
                <w:rFonts w:ascii="Arial" w:hAnsi="Arial" w:cs="Arial"/>
                <w:sz w:val="20"/>
                <w:szCs w:val="20"/>
                <w:lang w:val="en-GB"/>
              </w:rPr>
            </w:pPr>
          </w:p>
        </w:tc>
      </w:tr>
      <w:tr w:rsidR="004C234A" w:rsidRPr="00F10607" w14:paraId="74943781" w14:textId="77777777" w:rsidTr="00420945">
        <w:tc>
          <w:tcPr>
            <w:tcW w:w="2547" w:type="dxa"/>
          </w:tcPr>
          <w:p w14:paraId="7CDA0EFB" w14:textId="77777777" w:rsidR="004C234A" w:rsidRPr="00F10607" w:rsidRDefault="004C234A" w:rsidP="00F10607">
            <w:pPr>
              <w:jc w:val="both"/>
              <w:rPr>
                <w:rFonts w:ascii="Arial" w:hAnsi="Arial" w:cs="Arial"/>
                <w:sz w:val="20"/>
                <w:szCs w:val="20"/>
                <w:lang w:val="en-GB"/>
              </w:rPr>
            </w:pPr>
            <w:r w:rsidRPr="00F10607">
              <w:rPr>
                <w:rFonts w:ascii="Arial" w:hAnsi="Arial" w:cs="Arial"/>
                <w:sz w:val="20"/>
                <w:szCs w:val="20"/>
                <w:lang w:val="en-GB"/>
              </w:rPr>
              <w:t>Signature:</w:t>
            </w:r>
          </w:p>
        </w:tc>
        <w:tc>
          <w:tcPr>
            <w:tcW w:w="6520" w:type="dxa"/>
          </w:tcPr>
          <w:p w14:paraId="547DAE4A" w14:textId="77777777" w:rsidR="004C234A" w:rsidRPr="00F10607" w:rsidRDefault="004C234A" w:rsidP="00F10607">
            <w:pPr>
              <w:jc w:val="both"/>
              <w:rPr>
                <w:rFonts w:ascii="Arial" w:hAnsi="Arial" w:cs="Arial"/>
                <w:sz w:val="20"/>
                <w:szCs w:val="20"/>
                <w:lang w:val="en-GB"/>
              </w:rPr>
            </w:pPr>
          </w:p>
        </w:tc>
      </w:tr>
    </w:tbl>
    <w:p w14:paraId="75223BE8" w14:textId="77777777" w:rsidR="004C234A" w:rsidRPr="00F10607" w:rsidRDefault="004C234A" w:rsidP="00F10607">
      <w:pPr>
        <w:pStyle w:val="Paragraph"/>
        <w:spacing w:before="0" w:after="0"/>
        <w:ind w:left="720"/>
        <w:rPr>
          <w:rFonts w:cs="Arial"/>
        </w:rPr>
      </w:pPr>
    </w:p>
    <w:p w14:paraId="3D6130C9" w14:textId="77777777" w:rsidR="00CA5F69" w:rsidRPr="00F10607" w:rsidRDefault="00CA5F69" w:rsidP="00F10607">
      <w:pPr>
        <w:spacing w:after="0" w:line="240" w:lineRule="auto"/>
        <w:jc w:val="both"/>
        <w:rPr>
          <w:rFonts w:ascii="Arial" w:hAnsi="Arial" w:cs="Arial"/>
          <w:sz w:val="20"/>
          <w:szCs w:val="20"/>
          <w:lang w:val="en-GB"/>
        </w:rPr>
      </w:pPr>
    </w:p>
    <w:sectPr w:rsidR="00CA5F69" w:rsidRPr="00F106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3960A" w14:textId="77777777" w:rsidR="008B2EED" w:rsidRDefault="008B2EED" w:rsidP="00F85DA8">
      <w:pPr>
        <w:spacing w:after="0" w:line="240" w:lineRule="auto"/>
      </w:pPr>
      <w:r>
        <w:separator/>
      </w:r>
    </w:p>
  </w:endnote>
  <w:endnote w:type="continuationSeparator" w:id="0">
    <w:p w14:paraId="5C1BAF46" w14:textId="77777777" w:rsidR="008B2EED" w:rsidRDefault="008B2EED" w:rsidP="00F85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56842" w14:textId="77777777" w:rsidR="008B2EED" w:rsidRDefault="008B2EED" w:rsidP="00F85DA8">
      <w:pPr>
        <w:spacing w:after="0" w:line="240" w:lineRule="auto"/>
      </w:pPr>
      <w:r>
        <w:separator/>
      </w:r>
    </w:p>
  </w:footnote>
  <w:footnote w:type="continuationSeparator" w:id="0">
    <w:p w14:paraId="2756F022" w14:textId="77777777" w:rsidR="008B2EED" w:rsidRDefault="008B2EED" w:rsidP="00F85D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24EF"/>
    <w:multiLevelType w:val="hybridMultilevel"/>
    <w:tmpl w:val="F54E43BC"/>
    <w:lvl w:ilvl="0" w:tplc="44B42FE0">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2936C55"/>
    <w:multiLevelType w:val="hybridMultilevel"/>
    <w:tmpl w:val="AFD61106"/>
    <w:lvl w:ilvl="0" w:tplc="2932D484">
      <w:start w:val="1"/>
      <w:numFmt w:val="bullet"/>
      <w:lvlText w:val=""/>
      <w:lvlJc w:val="left"/>
      <w:pPr>
        <w:ind w:left="720" w:hanging="360"/>
      </w:pPr>
      <w:rPr>
        <w:rFonts w:ascii="Symbol" w:hAnsi="Symbol" w:hint="default"/>
        <w:color w:val="00A9CE"/>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5D700E"/>
    <w:multiLevelType w:val="hybridMultilevel"/>
    <w:tmpl w:val="B2D4E946"/>
    <w:lvl w:ilvl="0" w:tplc="38068F4A">
      <w:start w:val="1"/>
      <w:numFmt w:val="decimal"/>
      <w:suff w:val="space"/>
      <w:lvlText w:val="%1."/>
      <w:lvlJc w:val="left"/>
      <w:pPr>
        <w:ind w:left="0" w:firstLine="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D5A383C"/>
    <w:multiLevelType w:val="hybridMultilevel"/>
    <w:tmpl w:val="C7F80378"/>
    <w:lvl w:ilvl="0" w:tplc="6C8491A4">
      <w:start w:val="1"/>
      <w:numFmt w:val="lowerLetter"/>
      <w:suff w:val="space"/>
      <w:lvlText w:val="(%1)"/>
      <w:lvlJc w:val="left"/>
      <w:pPr>
        <w:ind w:left="0" w:firstLine="0"/>
      </w:pPr>
      <w:rPr>
        <w:rFonts w:hint="default"/>
        <w:sz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692031D6"/>
    <w:multiLevelType w:val="hybridMultilevel"/>
    <w:tmpl w:val="0E202844"/>
    <w:lvl w:ilvl="0" w:tplc="89227D9A">
      <w:start w:val="1"/>
      <w:numFmt w:val="lowerLetter"/>
      <w:suff w:val="space"/>
      <w:lvlText w:val="(%1)"/>
      <w:lvlJc w:val="left"/>
      <w:pPr>
        <w:ind w:left="0" w:firstLine="0"/>
      </w:pPr>
      <w:rPr>
        <w:rFonts w:hint="default"/>
        <w:b w:val="0"/>
        <w:sz w:val="20"/>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 w15:restartNumberingAfterBreak="0">
    <w:nsid w:val="69E1226C"/>
    <w:multiLevelType w:val="hybridMultilevel"/>
    <w:tmpl w:val="0E309066"/>
    <w:lvl w:ilvl="0" w:tplc="F90CF6E4">
      <w:start w:val="1"/>
      <w:numFmt w:val="lowerLetter"/>
      <w:suff w:val="space"/>
      <w:lvlText w:val="(%1)"/>
      <w:lvlJc w:val="left"/>
      <w:pPr>
        <w:ind w:left="0" w:firstLine="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3891F9A"/>
    <w:multiLevelType w:val="hybridMultilevel"/>
    <w:tmpl w:val="3A16D706"/>
    <w:lvl w:ilvl="0" w:tplc="88D4B82E">
      <w:start w:val="1"/>
      <w:numFmt w:val="lowerLetter"/>
      <w:suff w:val="space"/>
      <w:lvlText w:val="(%1)"/>
      <w:lvlJc w:val="left"/>
      <w:pPr>
        <w:ind w:left="0" w:firstLine="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7" w15:restartNumberingAfterBreak="0">
    <w:nsid w:val="7A101C13"/>
    <w:multiLevelType w:val="hybridMultilevel"/>
    <w:tmpl w:val="6A30330C"/>
    <w:lvl w:ilvl="0" w:tplc="A7260E36">
      <w:start w:val="1"/>
      <w:numFmt w:val="lowerLetter"/>
      <w:suff w:val="space"/>
      <w:lvlText w:val="(%1)"/>
      <w:lvlJc w:val="left"/>
      <w:pPr>
        <w:ind w:left="0" w:firstLine="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C3E19E4"/>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8"/>
  </w:num>
  <w:num w:numId="4">
    <w:abstractNumId w:val="0"/>
  </w:num>
  <w:num w:numId="5">
    <w:abstractNumId w:val="5"/>
  </w:num>
  <w:num w:numId="6">
    <w:abstractNumId w:val="6"/>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9C9"/>
    <w:rsid w:val="000D24EF"/>
    <w:rsid w:val="00160B2A"/>
    <w:rsid w:val="001B0212"/>
    <w:rsid w:val="001B5899"/>
    <w:rsid w:val="001F7B79"/>
    <w:rsid w:val="00216979"/>
    <w:rsid w:val="00232A25"/>
    <w:rsid w:val="00285F55"/>
    <w:rsid w:val="00375E13"/>
    <w:rsid w:val="003918DD"/>
    <w:rsid w:val="003A050D"/>
    <w:rsid w:val="003E25DE"/>
    <w:rsid w:val="004029A9"/>
    <w:rsid w:val="004A46FB"/>
    <w:rsid w:val="004C234A"/>
    <w:rsid w:val="004E4929"/>
    <w:rsid w:val="006462EF"/>
    <w:rsid w:val="00650A42"/>
    <w:rsid w:val="0068130F"/>
    <w:rsid w:val="006928B9"/>
    <w:rsid w:val="007A67C9"/>
    <w:rsid w:val="007E0E45"/>
    <w:rsid w:val="00801B97"/>
    <w:rsid w:val="00843696"/>
    <w:rsid w:val="00851FDC"/>
    <w:rsid w:val="008B2EED"/>
    <w:rsid w:val="008B49C9"/>
    <w:rsid w:val="00982B72"/>
    <w:rsid w:val="009B292F"/>
    <w:rsid w:val="00A109B7"/>
    <w:rsid w:val="00A55D6E"/>
    <w:rsid w:val="00A640F8"/>
    <w:rsid w:val="00AD4310"/>
    <w:rsid w:val="00BB2257"/>
    <w:rsid w:val="00BC7E01"/>
    <w:rsid w:val="00BE7A4D"/>
    <w:rsid w:val="00C672D3"/>
    <w:rsid w:val="00C73757"/>
    <w:rsid w:val="00CA388B"/>
    <w:rsid w:val="00CA5F69"/>
    <w:rsid w:val="00CF391D"/>
    <w:rsid w:val="00D8202C"/>
    <w:rsid w:val="00DB1B9A"/>
    <w:rsid w:val="00E47575"/>
    <w:rsid w:val="00E713D7"/>
    <w:rsid w:val="00E77742"/>
    <w:rsid w:val="00E9411A"/>
    <w:rsid w:val="00EF7565"/>
    <w:rsid w:val="00F10607"/>
    <w:rsid w:val="00F12249"/>
    <w:rsid w:val="00F85DA8"/>
    <w:rsid w:val="00FE230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7729E"/>
  <w15:chartTrackingRefBased/>
  <w15:docId w15:val="{853931AB-ABB3-41F0-8F7F-457020A9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qFormat/>
    <w:rsid w:val="008B49C9"/>
    <w:pPr>
      <w:spacing w:before="120" w:after="120" w:line="240" w:lineRule="auto"/>
      <w:jc w:val="both"/>
    </w:pPr>
    <w:rPr>
      <w:rFonts w:ascii="Arial" w:hAnsi="Arial"/>
      <w:sz w:val="20"/>
      <w:szCs w:val="20"/>
      <w:lang w:val="en-GB"/>
    </w:rPr>
  </w:style>
  <w:style w:type="paragraph" w:styleId="ListParagraph">
    <w:name w:val="List Paragraph"/>
    <w:basedOn w:val="Normal"/>
    <w:uiPriority w:val="34"/>
    <w:qFormat/>
    <w:rsid w:val="00CA5F69"/>
    <w:pPr>
      <w:ind w:left="720"/>
      <w:contextualSpacing/>
    </w:pPr>
  </w:style>
  <w:style w:type="table" w:styleId="TableGrid">
    <w:name w:val="Table Grid"/>
    <w:basedOn w:val="TableNormal"/>
    <w:uiPriority w:val="39"/>
    <w:rsid w:val="000D2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16979"/>
    <w:rPr>
      <w:color w:val="0563C1" w:themeColor="hyperlink"/>
      <w:u w:val="single"/>
    </w:rPr>
  </w:style>
  <w:style w:type="paragraph" w:styleId="FootnoteText">
    <w:name w:val="footnote text"/>
    <w:basedOn w:val="Normal"/>
    <w:link w:val="FootnoteTextChar"/>
    <w:uiPriority w:val="99"/>
    <w:semiHidden/>
    <w:unhideWhenUsed/>
    <w:rsid w:val="00F85D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5DA8"/>
    <w:rPr>
      <w:sz w:val="20"/>
      <w:szCs w:val="20"/>
    </w:rPr>
  </w:style>
  <w:style w:type="character" w:styleId="FootnoteReference">
    <w:name w:val="footnote reference"/>
    <w:basedOn w:val="DefaultParagraphFont"/>
    <w:uiPriority w:val="99"/>
    <w:semiHidden/>
    <w:unhideWhenUsed/>
    <w:rsid w:val="00F85D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710</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Derling</dc:creator>
  <cp:keywords/>
  <dc:description/>
  <cp:lastModifiedBy>Ervin Nurmela</cp:lastModifiedBy>
  <cp:revision>4</cp:revision>
  <dcterms:created xsi:type="dcterms:W3CDTF">2017-09-18T17:04:00Z</dcterms:created>
  <dcterms:modified xsi:type="dcterms:W3CDTF">2017-09-26T13:40:00Z</dcterms:modified>
</cp:coreProperties>
</file>